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bookmarkStart w:id="0" w:name="_GoBack"/>
      <w:r>
        <w:rPr>
          <w:rFonts w:cs="Times New Roman" w:ascii="Times New Roman" w:hAnsi="Times New Roman"/>
          <w:b/>
          <w:sz w:val="24"/>
          <w:szCs w:val="24"/>
        </w:rPr>
        <w:t>Най-често срещани пропуски при верифициране на разходите по многонационалните програми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Въз основа на извършените проверки от дирекция "Управление на териториалното сътрудничесво", функциониращ като Национален орган по всяка от многонационалните програми, върху работата на контрольорите, извършващи първо ниво на контрол, за периодите - 2017, 2018 и 2019 г. са установени следните пропуски при верифициране на разходите на бенефициерите, които са разпределени по бюджетни линии. Направеното изследване откроява едни от основните пропуски при управлението и изпълнението на проекти по програмата, като прави акцент върху проблемите при изпълнение на изискванията за допустимост на разходите по многонационалните програми, както и при организирането, провеждането и изпълнението на обществени поръчки, нарушения, които имат най-голям финансов ефект върху програмите.</w:t>
      </w:r>
    </w:p>
    <w:p>
      <w:pPr>
        <w:pStyle w:val="ListParagraph"/>
        <w:numPr>
          <w:ilvl w:val="0"/>
          <w:numId w:val="3"/>
        </w:numPr>
        <w:jc w:val="both"/>
        <w:rPr>
          <w:rFonts w:ascii="Times New Roman" w:hAnsi="Times New Roman" w:cs="Times New Roman"/>
          <w:b/>
          <w:b/>
          <w:sz w:val="24"/>
          <w:szCs w:val="24"/>
        </w:rPr>
      </w:pPr>
      <w:r>
        <w:rPr>
          <w:rFonts w:cs="Times New Roman" w:ascii="Times New Roman" w:hAnsi="Times New Roman"/>
          <w:b/>
          <w:sz w:val="24"/>
          <w:szCs w:val="24"/>
        </w:rPr>
        <w:t>Пропуски по отношение на изпълнението на правилата за допустимост на разходите по програмите:</w:t>
      </w:r>
    </w:p>
    <w:p>
      <w:pPr>
        <w:pStyle w:val="Normal"/>
        <w:jc w:val="both"/>
        <w:rPr>
          <w:rFonts w:ascii="Times New Roman" w:hAnsi="Times New Roman" w:cs="Times New Roman"/>
          <w:sz w:val="24"/>
          <w:szCs w:val="24"/>
          <w:u w:val="single"/>
        </w:rPr>
      </w:pPr>
      <w:r>
        <w:rPr>
          <w:rFonts w:cs="Times New Roman" w:ascii="Times New Roman" w:hAnsi="Times New Roman"/>
          <w:sz w:val="24"/>
          <w:szCs w:val="24"/>
        </w:rPr>
        <w:t>.</w:t>
      </w:r>
      <w:r>
        <w:rPr>
          <w:rFonts w:cs="Times New Roman" w:ascii="Times New Roman" w:hAnsi="Times New Roman"/>
          <w:sz w:val="24"/>
          <w:szCs w:val="24"/>
          <w:u w:val="single"/>
        </w:rPr>
        <w:t>БЛ Разходи за персонал:</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Липсва заповед за сформиране на екип по проекта;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Назначаване на служители за работа по проекта със заповед в извънработно време;</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Заверяват се несъответствия между описаните дейности в </w:t>
      </w:r>
      <w:r>
        <w:rPr>
          <w:rFonts w:cs="Times New Roman" w:ascii="Times New Roman" w:hAnsi="Times New Roman"/>
          <w:sz w:val="24"/>
          <w:szCs w:val="24"/>
          <w:lang w:val="en-US"/>
        </w:rPr>
        <w:t>timesheet</w:t>
      </w:r>
      <w:r>
        <w:rPr>
          <w:rFonts w:cs="Times New Roman" w:ascii="Times New Roman" w:hAnsi="Times New Roman"/>
          <w:sz w:val="24"/>
          <w:szCs w:val="24"/>
        </w:rPr>
        <w:t xml:space="preserve"> за дата, в която действително експерта е извършвал друга дейност, доказана със съответните разходно-оправдателни документи и отчетена по друго бюджетно перо (пътувания, участие в конференции и др.);</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Отчитане на работа по проекта по време на редовен отпуск или отпуск по болест;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Изчисление на часовата ставка на служителите като е използван </w:t>
      </w:r>
      <w:r>
        <w:rPr>
          <w:rFonts w:cs="Times New Roman" w:ascii="Times New Roman" w:hAnsi="Times New Roman"/>
          <w:sz w:val="24"/>
          <w:szCs w:val="24"/>
          <w:lang w:val="en-US"/>
        </w:rPr>
        <w:t xml:space="preserve">timesheet </w:t>
      </w:r>
      <w:r>
        <w:rPr>
          <w:rFonts w:cs="Times New Roman" w:ascii="Times New Roman" w:hAnsi="Times New Roman"/>
          <w:sz w:val="24"/>
          <w:szCs w:val="24"/>
        </w:rPr>
        <w:t>по друга програма, което нарушава правилата на програмата;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w:t>
      </w:r>
      <w:r>
        <w:rPr>
          <w:rFonts w:cs="Times New Roman" w:ascii="Times New Roman" w:hAnsi="Times New Roman"/>
          <w:sz w:val="24"/>
          <w:szCs w:val="24"/>
          <w:lang w:val="en-US"/>
        </w:rPr>
        <w:t xml:space="preserve">timesheet </w:t>
      </w:r>
      <w:r>
        <w:rPr>
          <w:rFonts w:cs="Times New Roman" w:ascii="Times New Roman" w:hAnsi="Times New Roman"/>
          <w:sz w:val="24"/>
          <w:szCs w:val="24"/>
        </w:rPr>
        <w:t>не е описана 100 % работа на служителя, а само работата по проекта;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Отчитане на договори по ЗЗД в БЛ Персонал </w:t>
      </w:r>
      <w:r>
        <w:rPr>
          <w:rFonts w:cs="Times New Roman" w:ascii="Times New Roman" w:hAnsi="Times New Roman"/>
          <w:sz w:val="24"/>
          <w:szCs w:val="24"/>
          <w:lang w:val="en-US"/>
        </w:rPr>
        <w:t>(</w:t>
      </w:r>
      <w:r>
        <w:rPr>
          <w:rFonts w:cs="Times New Roman" w:ascii="Times New Roman" w:hAnsi="Times New Roman"/>
          <w:sz w:val="24"/>
          <w:szCs w:val="24"/>
        </w:rPr>
        <w:t>с изключение на програма Балкани-Средиземно море</w:t>
      </w:r>
      <w:r>
        <w:rPr>
          <w:rFonts w:cs="Times New Roman" w:ascii="Times New Roman" w:hAnsi="Times New Roman"/>
          <w:sz w:val="24"/>
          <w:szCs w:val="24"/>
          <w:lang w:val="en-US"/>
        </w:rPr>
        <w:t>)</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БЛ Командировъчни разходи:</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Командировката не е съобразена с продължителността на събитието;</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Отчитане на пълен размер на дневните разходи при осигурен обяд/вечеря;</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Ползване на таксиметрови услуги в чужбина без обосновка;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Ползване на таксиметрови услуги при командирвки в страната;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Отчитане на разходи за вътрешен транспорт, които не надвишават 30% от размера на дневните разходи;</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Изплащане на двоен размер на дневните разходи, като не са изпълнени условията на Наредбата за командировките в страната;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Дуб</w:t>
      </w:r>
      <w:r>
        <w:rPr>
          <w:rFonts w:cs="Times New Roman" w:ascii="Times New Roman" w:hAnsi="Times New Roman"/>
          <w:sz w:val="24"/>
          <w:szCs w:val="24"/>
          <w:lang w:val="ru-RU"/>
        </w:rPr>
        <w:t xml:space="preserve">лиране на нощувки </w:t>
      </w:r>
      <w:r>
        <w:rPr>
          <w:rFonts w:cs="Times New Roman" w:ascii="Times New Roman" w:hAnsi="Times New Roman"/>
          <w:sz w:val="24"/>
          <w:szCs w:val="24"/>
          <w:lang w:val="en-US"/>
        </w:rPr>
        <w:t>(</w:t>
      </w:r>
      <w:r>
        <w:rPr>
          <w:rFonts w:cs="Times New Roman" w:ascii="Times New Roman" w:hAnsi="Times New Roman"/>
          <w:sz w:val="24"/>
          <w:szCs w:val="24"/>
        </w:rPr>
        <w:t>за една и съща дата</w:t>
      </w:r>
      <w:r>
        <w:rPr>
          <w:rFonts w:cs="Times New Roman" w:ascii="Times New Roman" w:hAnsi="Times New Roman"/>
          <w:sz w:val="24"/>
          <w:szCs w:val="24"/>
          <w:lang w:val="en-US"/>
        </w:rPr>
        <w:t>)</w:t>
      </w:r>
      <w:r>
        <w:rPr>
          <w:rFonts w:cs="Times New Roman" w:ascii="Times New Roman" w:hAnsi="Times New Roman"/>
          <w:sz w:val="24"/>
          <w:szCs w:val="24"/>
        </w:rPr>
        <w:t xml:space="preserve"> </w:t>
      </w:r>
      <w:r>
        <w:rPr>
          <w:rFonts w:cs="Times New Roman" w:ascii="Times New Roman" w:hAnsi="Times New Roman"/>
          <w:sz w:val="24"/>
          <w:szCs w:val="24"/>
          <w:lang w:val="ru-RU"/>
        </w:rPr>
        <w:t>в различни населени места.</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БЛ Външна експертиза и услуги:</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Липса на лого и име на програмата върху изработени документи и материали или неправилното им поставяне;</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Не се заверяват или липсват основни документи от проведените събития (снимки, дата на провеждане на събитието в присъствените списъци);</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Фактурите за проведеното събитие не са достатъчно подробни;</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Уебсайтът на проекта е създаден, но в него липсва основна информация за проекта;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Предметът на договора за услуга не е формулиран достатъчно подробно и ясно; в договора не са заложени срокове за изпълнение; датата на договора и датата на приемане на работата е една и съща;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Надвишение на максималния допустим размер на възнаграждението на ПНК с  размера на осигуровките за сметка на работодател;</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Към момента на извършване на плащането не са приети резултатите от извършената дейност от възложителя (приемо-предавателният протокол е издаден след плащането).</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БЛ Оборудване:</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Заверяват се разходи на основание разходно-оправдателни документи издадени в проверявания отчетен период, а фактическата доставката се извършва през следващия;</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Не се проверява визуализацията на оборудването;</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Оборудването се доставя в края на срока за изпълнение на проекта и не се използва по предназначение (за целите на проекта);</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При отчитане на разходи за амортизация не се проверява дали актива се използва и за други цели извън проекта през периода на отчитане (прилагане на разпределителен протокол и метод на отчитане в зависимост от програмата).</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0" w:firstLine="720"/>
        <w:jc w:val="both"/>
        <w:rPr>
          <w:rFonts w:ascii="Times New Roman" w:hAnsi="Times New Roman" w:cs="Times New Roman"/>
          <w:b/>
          <w:b/>
          <w:sz w:val="24"/>
          <w:szCs w:val="24"/>
          <w:u w:val="single"/>
        </w:rPr>
      </w:pPr>
      <w:r>
        <w:rPr>
          <w:rFonts w:cs="Times New Roman" w:ascii="Times New Roman" w:hAnsi="Times New Roman"/>
          <w:b/>
          <w:sz w:val="24"/>
          <w:szCs w:val="24"/>
          <w:u w:val="none"/>
          <w:lang w:val="en-US"/>
        </w:rPr>
        <w:t xml:space="preserve">II. </w:t>
      </w:r>
      <w:r>
        <w:rPr>
          <w:rFonts w:cs="Times New Roman" w:ascii="Times New Roman" w:hAnsi="Times New Roman"/>
          <w:b/>
          <w:sz w:val="24"/>
          <w:szCs w:val="24"/>
          <w:u w:val="none"/>
        </w:rPr>
        <w:t>Пропуски по отношение на организирането, провеждането и изпълнението на обществени поръчки:</w:t>
      </w:r>
    </w:p>
    <w:p>
      <w:pPr>
        <w:pStyle w:val="ListParagraph"/>
        <w:ind w:left="0" w:firstLine="720"/>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36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Най-често срещани пропуски се срещат в БЛ „Външна експертиза и услуги“, като същите са свързани с установени нарушения в областта на обществените поръчки при процедури за възлагане изпълнението на съответните обекти.</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Основният проблем, който възниква по време на изпълнението на проекта, както за НО, така и за бенефициерите, е свързан с възлагането на обществени поръчки съгласно действащото европейско и национално законодателство. От една страна при установени нарушения при провежданите по проекта процедури се намалява сумата, която следва да се възстанови от програмата като извършен и деклариран разход от бенефициера. От друга страна, за НО стартира процедура по администриране на нередности и извършване на финансови корекции съгласно съгласно Раздел III. от ЗУСЕСИФ във връзка с Наредбата за администриране на нередности по Европейските структурни и инвестиционни фондове, която приключва с налагане на финансова корекция в определен размер съгласно установената нередност, регистриране на нередността и докладване до УО, АФКОС и други компетентни органи.</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Националният орган по многонационалните програми е изготвил анализ, който </w:t>
      </w:r>
      <w:r>
        <w:rPr>
          <w:rFonts w:eastAsia="Calibri" w:cs="Times New Roman" w:ascii="Times New Roman" w:hAnsi="Times New Roman"/>
          <w:sz w:val="24"/>
          <w:szCs w:val="24"/>
        </w:rPr>
        <w:t>отразява резултатите от проверките, извършени от страна на органа, по подадени сигнали за нередност, както и проверка на качеството на работа на назначаваните контрольори в системите за управление и контрол.</w:t>
      </w:r>
    </w:p>
    <w:p>
      <w:pPr>
        <w:pStyle w:val="Normal"/>
        <w:spacing w:before="0" w:after="200"/>
        <w:ind w:firstLine="851"/>
        <w:contextualSpacing/>
        <w:jc w:val="both"/>
        <w:rPr/>
      </w:pPr>
      <w:r>
        <w:rPr>
          <w:rFonts w:eastAsia="Calibri" w:cs="Times New Roman" w:ascii="Times New Roman" w:hAnsi="Times New Roman"/>
          <w:sz w:val="24"/>
          <w:szCs w:val="24"/>
        </w:rPr>
        <w:t>Анализът е разработин въз основа на установените типове нарушения, групирани в съответствие с етапите на обществената поръчка, а именно:</w:t>
      </w:r>
    </w:p>
    <w:p>
      <w:pPr>
        <w:pStyle w:val="Normal"/>
        <w:numPr>
          <w:ilvl w:val="0"/>
          <w:numId w:val="4"/>
        </w:numPr>
        <w:spacing w:before="0" w:after="200"/>
        <w:ind w:firstLine="851"/>
        <w:contextualSpacing/>
        <w:jc w:val="both"/>
        <w:rPr>
          <w:rFonts w:ascii="Times New Roman" w:hAnsi="Times New Roman" w:cs="Times New Roman"/>
          <w:sz w:val="24"/>
          <w:szCs w:val="24"/>
        </w:rPr>
      </w:pPr>
      <w:r>
        <w:rPr>
          <w:rFonts w:eastAsia="Calibri" w:cs="Times New Roman" w:ascii="Times New Roman" w:hAnsi="Times New Roman"/>
          <w:sz w:val="24"/>
          <w:szCs w:val="24"/>
        </w:rPr>
        <w:t>Нередности, свързани с подготовката и откриването на процедурите за възлагане на обществени поръчки;</w:t>
      </w:r>
    </w:p>
    <w:p>
      <w:pPr>
        <w:pStyle w:val="Normal"/>
        <w:numPr>
          <w:ilvl w:val="0"/>
          <w:numId w:val="4"/>
        </w:numPr>
        <w:spacing w:before="0" w:after="200"/>
        <w:ind w:firstLine="851"/>
        <w:contextualSpacing/>
        <w:jc w:val="both"/>
        <w:rPr>
          <w:rFonts w:ascii="Times New Roman" w:hAnsi="Times New Roman" w:cs="Times New Roman"/>
          <w:sz w:val="24"/>
          <w:szCs w:val="24"/>
        </w:rPr>
      </w:pPr>
      <w:r>
        <w:rPr>
          <w:rFonts w:eastAsia="Calibri" w:cs="Times New Roman" w:ascii="Times New Roman" w:hAnsi="Times New Roman"/>
          <w:sz w:val="24"/>
          <w:szCs w:val="24"/>
        </w:rPr>
        <w:t>Нередности, свързани с оценяване на получените оферти;</w:t>
      </w:r>
    </w:p>
    <w:p>
      <w:pPr>
        <w:pStyle w:val="Normal"/>
        <w:numPr>
          <w:ilvl w:val="0"/>
          <w:numId w:val="4"/>
        </w:numPr>
        <w:spacing w:before="0" w:after="200"/>
        <w:ind w:firstLine="851"/>
        <w:contextualSpacing/>
        <w:jc w:val="both"/>
        <w:rPr>
          <w:rFonts w:ascii="Times New Roman" w:hAnsi="Times New Roman" w:cs="Times New Roman"/>
          <w:sz w:val="24"/>
          <w:szCs w:val="24"/>
        </w:rPr>
      </w:pPr>
      <w:r>
        <w:rPr>
          <w:rFonts w:eastAsia="Calibri" w:cs="Times New Roman" w:ascii="Times New Roman" w:hAnsi="Times New Roman"/>
          <w:sz w:val="24"/>
          <w:szCs w:val="24"/>
        </w:rPr>
        <w:t>Нередности, свързани с изпълнението на договори за обществени поръчки.</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2"/>
        </w:numPr>
        <w:pBdr>
          <w:top w:val="single" w:sz="4" w:space="1" w:color="000000"/>
          <w:left w:val="single" w:sz="4" w:space="4" w:color="000000"/>
          <w:bottom w:val="single" w:sz="4" w:space="1" w:color="000000"/>
          <w:right w:val="single" w:sz="4" w:space="4" w:color="000000"/>
        </w:pBdr>
        <w:tabs>
          <w:tab w:val="clear" w:pos="708"/>
          <w:tab w:val="left" w:pos="795" w:leader="none"/>
        </w:tabs>
        <w:bidi w:val="0"/>
        <w:spacing w:lineRule="auto" w:line="276" w:before="0" w:after="200"/>
        <w:ind w:left="850" w:right="0" w:hanging="794"/>
        <w:contextualSpacing/>
        <w:jc w:val="both"/>
        <w:rPr>
          <w:rFonts w:ascii="Times New Roman" w:hAnsi="Times New Roman"/>
          <w:b/>
          <w:b/>
          <w:bCs/>
          <w:u w:val="none"/>
        </w:rPr>
      </w:pPr>
      <w:r>
        <w:rPr>
          <w:rFonts w:cs="Times New Roman" w:ascii="Times New Roman" w:hAnsi="Times New Roman"/>
          <w:b/>
          <w:bCs/>
          <w:sz w:val="24"/>
          <w:szCs w:val="24"/>
          <w:u w:val="none"/>
        </w:rPr>
        <w:t>Нередности, свързани с подготовката и откриването на процедурите за възлагане на обществени поръчки:</w:t>
      </w:r>
    </w:p>
    <w:p>
      <w:pPr>
        <w:pStyle w:val="Normal"/>
        <w:ind w:firstLine="851"/>
        <w:jc w:val="both"/>
        <w:rPr/>
      </w:pPr>
      <w:r>
        <w:rPr>
          <w:rFonts w:cs="Times New Roman" w:ascii="Times New Roman" w:hAnsi="Times New Roman"/>
          <w:b/>
          <w:sz w:val="24"/>
          <w:szCs w:val="24"/>
        </w:rPr>
        <w:t>1.1.</w:t>
        <w:tab/>
        <w:t xml:space="preserve">Непровеждане на изискваната по закон процедура за възлагане на обществена поръчка и/или липса на публикация в Официален вестник на ЕС (ОВЕС)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Най-често този тип нарушения се изразяват в </w:t>
      </w:r>
      <w:r>
        <w:rPr>
          <w:rFonts w:cs="Times New Roman" w:ascii="Times New Roman" w:hAnsi="Times New Roman"/>
          <w:b/>
          <w:sz w:val="24"/>
          <w:szCs w:val="24"/>
        </w:rPr>
        <w:t>незаконосъобразно разделяне на обществената поръчка</w:t>
      </w:r>
      <w:r>
        <w:rPr>
          <w:rFonts w:cs="Times New Roman" w:ascii="Times New Roman" w:hAnsi="Times New Roman"/>
          <w:sz w:val="24"/>
          <w:szCs w:val="24"/>
        </w:rPr>
        <w:t xml:space="preserve"> с цел заобикаляне прилагането на предвидения в закона ред за възлагане на поръчката.</w:t>
      </w:r>
    </w:p>
    <w:p>
      <w:pPr>
        <w:pStyle w:val="ListParagraph"/>
        <w:numPr>
          <w:ilvl w:val="1"/>
          <w:numId w:val="2"/>
        </w:numPr>
        <w:ind w:left="0" w:firstLine="843"/>
        <w:jc w:val="both"/>
        <w:rPr>
          <w:rFonts w:ascii="Times New Roman" w:hAnsi="Times New Roman" w:cs="Times New Roman"/>
          <w:sz w:val="24"/>
          <w:szCs w:val="24"/>
        </w:rPr>
      </w:pPr>
      <w:r>
        <w:rPr>
          <w:rFonts w:cs="Times New Roman" w:ascii="Times New Roman" w:hAnsi="Times New Roman"/>
          <w:b/>
          <w:bCs/>
          <w:sz w:val="24"/>
          <w:szCs w:val="24"/>
        </w:rPr>
        <w:t>Използване на ограничителни критерии, които нарушават свободната конкуренция, дават необосновано предимство на определени кандидати и водят до отстраняване на други:</w:t>
      </w:r>
    </w:p>
    <w:p>
      <w:pPr>
        <w:pStyle w:val="ListParagraph"/>
        <w:ind w:left="142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ind w:left="0" w:firstLine="1134"/>
        <w:jc w:val="both"/>
        <w:rPr>
          <w:rFonts w:ascii="Times New Roman" w:hAnsi="Times New Roman" w:cs="Times New Roman"/>
          <w:sz w:val="24"/>
          <w:szCs w:val="24"/>
        </w:rPr>
      </w:pPr>
      <w:r>
        <w:rPr>
          <w:rFonts w:cs="Times New Roman" w:ascii="Times New Roman" w:hAnsi="Times New Roman"/>
          <w:sz w:val="24"/>
          <w:szCs w:val="24"/>
        </w:rPr>
        <w:t>- Изисквания, водещи до неравно третиране на различните видове участници - нарушение на принципа на равно третиране, заложен в чл. 102, т. 1 от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  (отм.) или чл. 160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pPr>
        <w:pStyle w:val="ListParagraph"/>
        <w:numPr>
          <w:ilvl w:val="0"/>
          <w:numId w:val="5"/>
        </w:numPr>
        <w:ind w:left="0" w:firstLine="1134"/>
        <w:jc w:val="both"/>
        <w:rPr>
          <w:rFonts w:ascii="Times New Roman" w:hAnsi="Times New Roman" w:cs="Times New Roman"/>
          <w:sz w:val="24"/>
          <w:szCs w:val="24"/>
        </w:rPr>
      </w:pPr>
      <w:r>
        <w:rPr>
          <w:rFonts w:cs="Times New Roman" w:ascii="Times New Roman" w:hAnsi="Times New Roman"/>
          <w:sz w:val="24"/>
          <w:szCs w:val="24"/>
        </w:rPr>
        <w:t>- Непропорционални изисквания относно икономическото и финансово състояние на участниците. Например: критерии за финансов оборот са минимум два пъти от цената на поръчката, изпълнени поне две сходни услуги, референции от поне двама клиенти, както и минимум двама служители, притежаващи 2 години опит в логистичното обезпечаване на различни видове събития, могат да се приемат за завишени и ограничителни</w:t>
      </w:r>
    </w:p>
    <w:p>
      <w:pPr>
        <w:pStyle w:val="Normal"/>
        <w:numPr>
          <w:ilvl w:val="0"/>
          <w:numId w:val="5"/>
        </w:numPr>
        <w:ind w:firstLine="1134"/>
        <w:jc w:val="both"/>
        <w:rPr>
          <w:rFonts w:ascii="Times New Roman" w:hAnsi="Times New Roman" w:cs="Times New Roman"/>
          <w:sz w:val="24"/>
          <w:szCs w:val="24"/>
        </w:rPr>
      </w:pPr>
      <w:r>
        <w:rPr>
          <w:rFonts w:cs="Times New Roman" w:ascii="Times New Roman" w:hAnsi="Times New Roman"/>
          <w:sz w:val="24"/>
          <w:szCs w:val="24"/>
        </w:rPr>
        <w:t>- Непропорционални изисквания относно техническите възможности на участниците. Например: Участникът да е изпълнил дейности, с предмет и обем, идентични или сходни с предмета на поръчката, за последните 3 години от датата на подаване на офертата, като представената дефиниция за сходен и/или идентичен предмет на дейност е ограничителна; или изискване за представяне на валидна система за управление на сигурността на информацията - Участникът да има внедрени: 2.1. валидна система за управление на качеството, съответстваща на стандарт БДС EN ISO 9001 без да се посочва „или еквивалентен“; 2.2. валидна система за управление на ИТ услуги, съответстваща на стандарт БДС съответстваща на стандарт БДС ЕN ISO 27001 или без посочване на „еквивалентен, в областта на поръчката и включващ не по-малко от следните дейности – разработване, внедряване и поддръжка на софтуерни продукти и/или информационни системи“.</w:t>
      </w:r>
    </w:p>
    <w:p>
      <w:pPr>
        <w:pStyle w:val="ListParagraph"/>
        <w:numPr>
          <w:ilvl w:val="0"/>
          <w:numId w:val="5"/>
        </w:numPr>
        <w:ind w:left="0" w:firstLine="1134"/>
        <w:jc w:val="both"/>
        <w:rPr>
          <w:rFonts w:ascii="Times New Roman" w:hAnsi="Times New Roman" w:cs="Times New Roman"/>
          <w:sz w:val="24"/>
          <w:szCs w:val="24"/>
        </w:rPr>
      </w:pPr>
      <w:r>
        <w:rPr>
          <w:rFonts w:cs="Times New Roman" w:ascii="Times New Roman" w:hAnsi="Times New Roman"/>
          <w:sz w:val="24"/>
          <w:szCs w:val="24"/>
        </w:rPr>
        <w:t>- Непропорционални изисквания относно професионалната квалификация и опита на експертите: Изисква се опит на ключовите експерти, чиято продължителност не е съобразена или с нормативни изисквания за изпълнение на съответната дейност, или с обичайна практика в съответната сфера.</w:t>
      </w:r>
    </w:p>
    <w:p>
      <w:pPr>
        <w:pStyle w:val="ListParagraph"/>
        <w:numPr>
          <w:ilvl w:val="0"/>
          <w:numId w:val="5"/>
        </w:numPr>
        <w:ind w:left="0" w:firstLine="1134"/>
        <w:jc w:val="both"/>
        <w:rPr>
          <w:rFonts w:ascii="Times New Roman" w:hAnsi="Times New Roman" w:cs="Times New Roman"/>
          <w:sz w:val="24"/>
          <w:szCs w:val="24"/>
        </w:rPr>
      </w:pPr>
      <w:r>
        <w:rPr>
          <w:rFonts w:cs="Times New Roman" w:ascii="Times New Roman" w:hAnsi="Times New Roman"/>
          <w:sz w:val="24"/>
          <w:szCs w:val="24"/>
        </w:rPr>
        <w:t>- Завишени и/или несъответстващи на предмета и дейностите по поръчката изисквания за експерти. Например: образователната степен, професионалната квалификация или продължителността на опита са прекомерни спрямо отговорностите, предвидени за съответния експерт при изпълнението на поръчката.</w:t>
      </w:r>
    </w:p>
    <w:p>
      <w:pPr>
        <w:pStyle w:val="Normal"/>
        <w:spacing w:lineRule="auto" w:line="360" w:before="0" w:after="200"/>
        <w:ind w:firstLine="709"/>
        <w:contextualSpacing/>
        <w:jc w:val="both"/>
        <w:rPr>
          <w:rFonts w:ascii="Times New Roman" w:hAnsi="Times New Roman" w:eastAsia="Times New Roman" w:cs="Times New Roman"/>
          <w:b/>
          <w:b/>
          <w:bCs/>
          <w:sz w:val="24"/>
          <w:szCs w:val="24"/>
          <w:lang w:bidi="bg-BG"/>
        </w:rPr>
      </w:pPr>
      <w:r>
        <w:rPr>
          <w:rFonts w:eastAsia="Arial Unicode MS" w:cs="Times New Roman" w:ascii="Times New Roman" w:hAnsi="Times New Roman"/>
          <w:b/>
          <w:bCs/>
          <w:sz w:val="24"/>
          <w:szCs w:val="24"/>
          <w:lang w:bidi="bg-BG"/>
        </w:rPr>
        <w:t>1</w:t>
      </w:r>
      <w:r>
        <w:rPr>
          <w:rFonts w:eastAsia="Times New Roman" w:cs="Times New Roman" w:ascii="Times New Roman" w:hAnsi="Times New Roman"/>
          <w:b/>
          <w:bCs/>
          <w:sz w:val="24"/>
          <w:szCs w:val="24"/>
          <w:lang w:bidi="bg-BG"/>
        </w:rPr>
        <w:t>.3 Незаконосъобразна методика за оценка на офертите.</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Формулирането на незаконосъобразна методика за оценка по същността си представлява обстоятелство, което необосновано ограничава участието на лицата в процедурата.</w:t>
      </w:r>
      <w:r>
        <w:rPr>
          <w:rFonts w:cs="Times New Roman" w:ascii="Times New Roman" w:hAnsi="Times New Roman"/>
          <w:sz w:val="24"/>
          <w:szCs w:val="24"/>
        </w:rPr>
        <w:t xml:space="preserve"> </w:t>
      </w:r>
      <w:r>
        <w:rPr>
          <w:rFonts w:eastAsia="Times New Roman" w:cs="Times New Roman" w:ascii="Times New Roman" w:hAnsi="Times New Roman"/>
          <w:sz w:val="24"/>
          <w:szCs w:val="24"/>
        </w:rPr>
        <w:t>Използване на неясни показатели за оценка на офертите, които нарушават свободната конкуренция, дават необосновано предимство на определени кандидати и водят до отстраняване на друг. Изготвената методика за оценка има разубеждаващ ефект по отношение на потенциалните участници в процедурата за възлагане на обществена поръчка, или оказва влияние върху прозрачността при провеждане на процедурата - не е налице достатъчно информация при какви предложения колко точки ще бъдат присъдени.</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Нарушенията по отношение на методиката за оценка на офертите основно са:</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 Формулиране на показатели за оценка, които не са свързани пряко с предмета на обществената поръчка.</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Примерите за това са в три посоки:</w:t>
      </w:r>
    </w:p>
    <w:p>
      <w:pPr>
        <w:pStyle w:val="Normal"/>
        <w:numPr>
          <w:ilvl w:val="0"/>
          <w:numId w:val="8"/>
        </w:numPr>
        <w:spacing w:lineRule="auto" w:line="360" w:before="0" w:after="200"/>
        <w:ind w:firstLine="709"/>
        <w:contextualSpacing/>
        <w:jc w:val="both"/>
        <w:rPr/>
      </w:pPr>
      <w:r>
        <w:rPr>
          <w:rFonts w:eastAsia="Times New Roman" w:cs="Times New Roman" w:ascii="Times New Roman" w:hAnsi="Times New Roman"/>
          <w:sz w:val="24"/>
          <w:szCs w:val="24"/>
        </w:rPr>
        <w:t>допускане да се оферират допълнителни дейности извън техническите спецификации;</w:t>
      </w:r>
    </w:p>
    <w:p>
      <w:pPr>
        <w:pStyle w:val="Normal"/>
        <w:numPr>
          <w:ilvl w:val="0"/>
          <w:numId w:val="8"/>
        </w:numPr>
        <w:spacing w:lineRule="auto" w:line="360" w:before="0" w:after="200"/>
        <w:ind w:firstLine="709"/>
        <w:contextualSpacing/>
        <w:jc w:val="both"/>
        <w:rPr/>
      </w:pPr>
      <w:r>
        <w:rPr>
          <w:rFonts w:eastAsia="Times New Roman" w:cs="Times New Roman" w:ascii="Times New Roman" w:hAnsi="Times New Roman"/>
          <w:sz w:val="24"/>
          <w:szCs w:val="24"/>
        </w:rPr>
        <w:t>използване на показатели за оценка, които не допринасят за качественото изпълнение на поръчката и съответно не способстват за избор на най-добрата оферта;</w:t>
      </w:r>
    </w:p>
    <w:p>
      <w:pPr>
        <w:pStyle w:val="Normal"/>
        <w:numPr>
          <w:ilvl w:val="0"/>
          <w:numId w:val="8"/>
        </w:numPr>
        <w:spacing w:lineRule="auto" w:line="360" w:before="0" w:after="200"/>
        <w:ind w:firstLine="709"/>
        <w:contextualSpacing/>
        <w:jc w:val="both"/>
        <w:rPr/>
      </w:pPr>
      <w:r>
        <w:rPr>
          <w:rFonts w:eastAsia="Times New Roman" w:cs="Times New Roman" w:ascii="Times New Roman" w:hAnsi="Times New Roman"/>
          <w:sz w:val="24"/>
          <w:szCs w:val="24"/>
        </w:rPr>
        <w:t>използване на показатели за оценка, при които присъждането на точки е свързано не с предмета на поръчката, а с офертите на другите участници Случаите на незаконосъобразна практика за допълнително офериране са налице, когато възложителят е изисквал да се предлагат бонуси или допълнителни услуги/доставки/СМР, които надграждат техническите спецификации и не са конкретизирани в последните, но подлежат на оценяване като част от техническата оферта“.</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 Използване на показатели за оценка в рамките на предварително определени оценъчни нива и диапазони, без да са посочени указания за присъждане на точки в рамките на всяко от нивата.</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Формулиране на показатели за оценка, които представляват изисквания към финансово-икономическото състояние, техническите възможности и професионалната квалификация на участниците или неправомерно смесване на критерии за подбор с показатели за оценка.</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 Присъждане на точки (дори и 0) за предложения, които не отговарят на изискванията на техническата спецификация или други условия, поставени от възложителя.</w:t>
      </w:r>
      <w:r>
        <w:rPr>
          <w:rFonts w:cs="Times New Roman" w:ascii="Times New Roman" w:hAnsi="Times New Roman"/>
          <w:sz w:val="24"/>
          <w:szCs w:val="24"/>
        </w:rPr>
        <w:t xml:space="preserve"> </w:t>
      </w:r>
      <w:r>
        <w:rPr>
          <w:rFonts w:eastAsia="Times New Roman" w:cs="Times New Roman" w:ascii="Times New Roman" w:hAnsi="Times New Roman"/>
          <w:sz w:val="24"/>
          <w:szCs w:val="24"/>
        </w:rPr>
        <w:t>Скала с минимално допустима стойност на количествен показател „0“ е равнозначно на несъответствие на предложението със заложените изисквания.</w:t>
      </w:r>
    </w:p>
    <w:p>
      <w:pPr>
        <w:pStyle w:val="Normal"/>
        <w:spacing w:lineRule="auto" w:line="360" w:before="0" w:after="200"/>
        <w:ind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 Математически грешки във формулите, използвани при изчисляване на оценките по отделните показатели и/или при изчисляване на комплексната оценка.</w:t>
      </w:r>
    </w:p>
    <w:p>
      <w:pPr>
        <w:pStyle w:val="ListParagraph"/>
        <w:widowControl/>
        <w:numPr>
          <w:ilvl w:val="0"/>
          <w:numId w:val="2"/>
        </w:numPr>
        <w:pBdr>
          <w:top w:val="single" w:sz="4" w:space="1" w:color="000000"/>
          <w:left w:val="single" w:sz="4" w:space="4" w:color="000000"/>
          <w:bottom w:val="single" w:sz="4" w:space="1" w:color="000000"/>
          <w:right w:val="single" w:sz="4" w:space="4" w:color="000000"/>
        </w:pBdr>
        <w:tabs>
          <w:tab w:val="clear" w:pos="708"/>
          <w:tab w:val="left" w:pos="735" w:leader="none"/>
        </w:tabs>
        <w:bidi w:val="0"/>
        <w:spacing w:lineRule="auto" w:line="360" w:before="0" w:after="200"/>
        <w:ind w:left="737" w:right="0" w:hanging="737"/>
        <w:contextualSpacing/>
        <w:jc w:val="both"/>
        <w:rPr>
          <w:rFonts w:ascii="Times New Roman" w:hAnsi="Times New Roman"/>
          <w:b/>
          <w:b/>
          <w:bCs/>
        </w:rPr>
      </w:pPr>
      <w:r>
        <w:rPr>
          <w:rFonts w:eastAsia="Times New Roman" w:cs="Times New Roman" w:ascii="Times New Roman" w:hAnsi="Times New Roman"/>
          <w:b/>
          <w:bCs/>
          <w:sz w:val="24"/>
          <w:szCs w:val="24"/>
          <w:lang w:bidi="bg-BG"/>
        </w:rPr>
        <w:t>Грешки, свързани с оценяване на получените оферти (свързан с работата на комисията за провеждане на процедурата):</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определя се за изпълнител участник, който не отговаря на предварително определените от възложителя изисквания, но в резултат на пропуски в работата на комисията е допуснат до участие и оценка;</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неправилно са приложени от страна на комисията определените от възложителя критерии за подбор, което е довело до неоснователно отстраняване на участници/кандидати;</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оценка на финансови възможности въз основа на сертификати, изискани като доказателства за технически възможности;</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при установена липса или нередовност в офертата, комисията не е дала възможност на участника да отстрани нередовността;</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неправилно прилагане от страна на комисията на определените от възложителя показатели за оценка, което е довело до неправилно класиране на офертите;</w:t>
      </w:r>
    </w:p>
    <w:p>
      <w:pPr>
        <w:pStyle w:val="Normal"/>
        <w:numPr>
          <w:ilvl w:val="0"/>
          <w:numId w:val="6"/>
        </w:numPr>
        <w:spacing w:lineRule="auto" w:line="360" w:before="0" w:after="200"/>
        <w:ind w:firstLine="709"/>
        <w:contextualSpacing/>
        <w:jc w:val="both"/>
        <w:rPr/>
      </w:pPr>
      <w:r>
        <w:rPr>
          <w:rFonts w:eastAsia="Times New Roman" w:cs="Times New Roman" w:ascii="Times New Roman" w:hAnsi="Times New Roman"/>
          <w:bCs/>
          <w:sz w:val="24"/>
          <w:szCs w:val="24"/>
          <w:lang w:bidi="bg-BG"/>
        </w:rPr>
        <w:t>комисията е третирала по различен начин участника, определен за изпълнител, и отстранените участници - в сходни ситуации комисията е интерпретирала различно определени изисквания на възложителя и документи за доказването им, а при равнопоставено третиране е следвало да отстрани всички участници или да допусне всички;</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200"/>
        <w:ind w:left="737" w:right="0" w:hanging="737"/>
        <w:contextualSpacing/>
        <w:jc w:val="both"/>
        <w:rPr/>
      </w:pPr>
      <w:r>
        <w:rPr>
          <w:rFonts w:eastAsia="Times New Roman" w:cs="Times New Roman" w:ascii="Times New Roman" w:hAnsi="Times New Roman"/>
          <w:b/>
          <w:bCs/>
          <w:sz w:val="24"/>
          <w:szCs w:val="24"/>
          <w:lang w:bidi="bg-BG"/>
        </w:rPr>
        <w:t>3.</w:t>
        <w:tab/>
        <w:t>Грешки при сключването и изпълнението на договорите за обществени поръчки:</w:t>
      </w:r>
    </w:p>
    <w:p>
      <w:pPr>
        <w:pStyle w:val="Normal"/>
        <w:keepNext w:val="true"/>
        <w:keepLines/>
        <w:widowControl w:val="false"/>
        <w:numPr>
          <w:ilvl w:val="0"/>
          <w:numId w:val="0"/>
        </w:numPr>
        <w:tabs>
          <w:tab w:val="clear" w:pos="708"/>
          <w:tab w:val="left" w:pos="303" w:leader="none"/>
        </w:tabs>
        <w:spacing w:lineRule="auto" w:line="360" w:before="0" w:after="98"/>
        <w:ind w:firstLine="709"/>
        <w:jc w:val="both"/>
        <w:outlineLvl w:val="0"/>
        <w:rPr>
          <w:rFonts w:ascii="Times New Roman" w:hAnsi="Times New Roman" w:eastAsia="Times New Roman" w:cs="Times New Roman"/>
          <w:bCs/>
          <w:sz w:val="24"/>
          <w:szCs w:val="24"/>
          <w:lang w:bidi="bg-BG"/>
        </w:rPr>
      </w:pPr>
      <w:r>
        <w:rPr>
          <w:rFonts w:eastAsia="Times New Roman" w:cs="Times New Roman" w:ascii="Times New Roman" w:hAnsi="Times New Roman"/>
          <w:bCs/>
          <w:sz w:val="24"/>
          <w:szCs w:val="24"/>
          <w:lang w:bidi="bg-BG"/>
        </w:rPr>
        <w:t>Съществено изменение на елементи на поръчката, посочени в обявлението за поръчка или в спецификациите или ограничаване на обхвата на поръчката, а именно: изменения в цената за изпълнение на поръчката; промяна в срока за изпълнение; промяна на количеството и обема; намаляване/ неизпълнение на обхвата на поръчката без пропорционално намаление на цената; промяна на екипа за изпълнение на поръчката; намаляване на обема на поръчката при запазване на стойността на договора;</w:t>
      </w:r>
    </w:p>
    <w:p>
      <w:pPr>
        <w:pStyle w:val="Normal"/>
        <w:keepNext w:val="true"/>
        <w:keepLines/>
        <w:widowControl w:val="false"/>
        <w:numPr>
          <w:ilvl w:val="0"/>
          <w:numId w:val="7"/>
        </w:numPr>
        <w:tabs>
          <w:tab w:val="clear" w:pos="708"/>
          <w:tab w:val="left" w:pos="303" w:leader="none"/>
        </w:tabs>
        <w:spacing w:lineRule="auto" w:line="360" w:before="0" w:after="98"/>
        <w:ind w:firstLine="709"/>
        <w:jc w:val="both"/>
        <w:outlineLvl w:val="0"/>
        <w:rPr/>
      </w:pPr>
      <w:r>
        <w:rPr>
          <w:rFonts w:eastAsia="Times New Roman" w:cs="Times New Roman" w:ascii="Times New Roman" w:hAnsi="Times New Roman"/>
          <w:bCs/>
          <w:sz w:val="24"/>
          <w:szCs w:val="24"/>
          <w:lang w:bidi="bg-BG"/>
        </w:rPr>
        <w:t>незаконосъобразно изменение на срока на сключения договор;</w:t>
      </w:r>
    </w:p>
    <w:p>
      <w:pPr>
        <w:pStyle w:val="Normal"/>
        <w:keepNext w:val="true"/>
        <w:keepLines/>
        <w:widowControl w:val="false"/>
        <w:numPr>
          <w:ilvl w:val="0"/>
          <w:numId w:val="7"/>
        </w:numPr>
        <w:tabs>
          <w:tab w:val="clear" w:pos="708"/>
          <w:tab w:val="left" w:pos="303" w:leader="none"/>
        </w:tabs>
        <w:spacing w:lineRule="auto" w:line="360" w:before="0" w:after="98"/>
        <w:ind w:firstLine="709"/>
        <w:jc w:val="both"/>
        <w:outlineLvl w:val="0"/>
        <w:rPr/>
      </w:pPr>
      <w:r>
        <w:rPr>
          <w:rFonts w:eastAsia="Times New Roman" w:cs="Times New Roman" w:ascii="Times New Roman" w:hAnsi="Times New Roman"/>
          <w:bCs/>
          <w:sz w:val="24"/>
          <w:szCs w:val="24"/>
          <w:lang w:bidi="bg-BG"/>
        </w:rPr>
        <w:t>промяна в състава на ключовите експерти, като участвалите в изпълнението експерти не отговарят на критериите за подбор.</w:t>
      </w:r>
    </w:p>
    <w:p>
      <w:pPr>
        <w:pStyle w:val="Normal"/>
        <w:keepNext w:val="true"/>
        <w:keepLines/>
        <w:widowControl w:val="false"/>
        <w:numPr>
          <w:ilvl w:val="4"/>
          <w:numId w:val="7"/>
        </w:numPr>
        <w:tabs>
          <w:tab w:val="clear" w:pos="708"/>
          <w:tab w:val="left" w:pos="303" w:leader="none"/>
          <w:tab w:val="left" w:pos="1410" w:leader="none"/>
        </w:tabs>
        <w:spacing w:lineRule="auto" w:line="360" w:before="0" w:after="98"/>
        <w:ind w:firstLine="709"/>
        <w:jc w:val="both"/>
        <w:outlineLvl w:val="0"/>
        <w:rPr>
          <w:rFonts w:ascii="Times New Roman" w:hAnsi="Times New Roman" w:eastAsia="Times New Roman" w:cs="Times New Roman"/>
          <w:bCs/>
          <w:sz w:val="24"/>
          <w:szCs w:val="24"/>
          <w:lang w:bidi="bg-BG"/>
        </w:rPr>
      </w:pPr>
      <w:r>
        <w:rPr>
          <w:rFonts w:eastAsia="Times New Roman" w:cs="Times New Roman" w:ascii="Times New Roman" w:hAnsi="Times New Roman"/>
          <w:bCs/>
          <w:sz w:val="24"/>
          <w:szCs w:val="24"/>
          <w:lang w:bidi="bg-BG"/>
        </w:rPr>
        <w:t>неоснователно възлагане на допълнителни поръчки за строителство/услуги/доставки.</w:t>
      </w:r>
    </w:p>
    <w:p>
      <w:pPr>
        <w:pStyle w:val="Normal"/>
        <w:keepNext w:val="true"/>
        <w:keepLines/>
        <w:widowControl w:val="false"/>
        <w:numPr>
          <w:ilvl w:val="0"/>
          <w:numId w:val="0"/>
        </w:numPr>
        <w:tabs>
          <w:tab w:val="clear" w:pos="708"/>
          <w:tab w:val="left" w:pos="303" w:leader="none"/>
          <w:tab w:val="left" w:pos="851" w:leader="none"/>
          <w:tab w:val="left" w:pos="993" w:leader="none"/>
        </w:tabs>
        <w:bidi w:val="0"/>
        <w:spacing w:lineRule="auto" w:line="360" w:before="0" w:after="98"/>
        <w:ind w:left="0" w:right="0" w:firstLine="737"/>
        <w:jc w:val="both"/>
        <w:outlineLvl w:val="0"/>
        <w:rPr>
          <w:rFonts w:ascii="Times New Roman" w:hAnsi="Times New Roman" w:eastAsia="Times New Roman" w:cs="Times New Roman"/>
          <w:sz w:val="24"/>
          <w:szCs w:val="24"/>
          <w:lang w:bidi="bg-BG"/>
        </w:rPr>
      </w:pPr>
      <w:r>
        <w:rPr>
          <w:b/>
          <w:bCs/>
        </w:rPr>
      </w:r>
    </w:p>
    <w:p>
      <w:pPr>
        <w:pStyle w:val="Normal"/>
        <w:widowControl w:val="false"/>
        <w:numPr>
          <w:ilvl w:val="0"/>
          <w:numId w:val="0"/>
        </w:numPr>
        <w:tabs>
          <w:tab w:val="clear" w:pos="708"/>
          <w:tab w:val="left" w:pos="303" w:leader="none"/>
          <w:tab w:val="left" w:pos="851" w:leader="none"/>
          <w:tab w:val="left" w:pos="993" w:leader="none"/>
        </w:tabs>
        <w:bidi w:val="0"/>
        <w:spacing w:lineRule="auto" w:line="360" w:before="0" w:after="98"/>
        <w:ind w:left="0" w:right="0" w:firstLine="737"/>
        <w:jc w:val="both"/>
        <w:outlineLvl w:val="0"/>
        <w:rPr>
          <w:b/>
          <w:b/>
          <w:bCs/>
        </w:rPr>
      </w:pPr>
      <w:r>
        <w:rPr>
          <w:rFonts w:eastAsia="Times New Roman" w:cs="Times New Roman" w:ascii="Times New Roman" w:hAnsi="Times New Roman"/>
          <w:b/>
          <w:bCs/>
          <w:sz w:val="24"/>
          <w:szCs w:val="24"/>
          <w:lang w:bidi="bg-BG"/>
        </w:rPr>
        <w:t>Извод:</w:t>
      </w:r>
    </w:p>
    <w:p>
      <w:pPr>
        <w:pStyle w:val="Normal"/>
        <w:tabs>
          <w:tab w:val="clear" w:pos="708"/>
          <w:tab w:val="left" w:pos="870" w:leader="none"/>
        </w:tabs>
        <w:spacing w:lineRule="auto" w:line="360" w:before="0" w:after="200"/>
        <w:ind w:firstLine="851"/>
        <w:contextualSpacing/>
        <w:jc w:val="both"/>
        <w:rPr/>
      </w:pPr>
      <w:r>
        <w:rPr>
          <w:rFonts w:eastAsia="Calibri" w:cs="Times New Roman" w:ascii="Times New Roman" w:hAnsi="Times New Roman"/>
          <w:sz w:val="24"/>
          <w:szCs w:val="24"/>
        </w:rPr>
        <w:t xml:space="preserve">Най-голям дял от установените нарушения са свързани с подготовката на обществената поръчка за възлагане и нейното обявяване, т.е. при формулиране на нейния предмет и избора на реда, по който тя ще бъде проведена, при формулирането на критериите за подбор и възлагане, техническите спецификации и методиката за оценка, както и при определянето на сроковете за получаване на оферти и за получаване/закупуване на документацията за участие. </w:t>
      </w:r>
    </w:p>
    <w:p>
      <w:pPr>
        <w:pStyle w:val="Normal"/>
        <w:tabs>
          <w:tab w:val="clear" w:pos="708"/>
          <w:tab w:val="left" w:pos="5310" w:leader="none"/>
        </w:tabs>
        <w:spacing w:lineRule="auto" w:line="360" w:before="0" w:after="0"/>
        <w:ind w:firstLine="851"/>
        <w:jc w:val="both"/>
        <w:rPr/>
      </w:pPr>
      <w:r>
        <w:rPr>
          <w:rFonts w:eastAsia="Calibri" w:cs="Times New Roman" w:ascii="Times New Roman" w:hAnsi="Times New Roman"/>
          <w:sz w:val="24"/>
          <w:szCs w:val="24"/>
        </w:rPr>
        <w:t>Изследването сочи, че този тип нарушения са с най- големи финансови последици за бенефициентите вследствие на установени нередности и извършени финансови корекции. Нарушенията най-често са свързани с начина, по който са формулирани критериите за подбор към участниците или със съответните документи, изисквани за доказването им като съществен проблем е създаването на незаконосъобразна методика за оценка на оферти и т. нар. „надграждане“ на офертите (участниците следва да предложат нещо над минималните изисквания на възложителя, без да е указано яснота и конкретно посочване на искането). Отчетено е и неразбирането от страна на бенефициерите на основните принципи на обществените поръчки и връзката им с другите права, уредени в правната доктрина на Съюза.</w:t>
        <w:tab/>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Към настоящия момент не са отчитани съществени пропуски, свързани с етапа на изпълнение на  обществените поръчки и в тази връзка се представят често срещани хипотези на нарушения, които са основание за налагане на финансови корекции.</w:t>
      </w:r>
    </w:p>
    <w:p>
      <w:pPr>
        <w:pStyle w:val="Normal"/>
        <w:widowControl/>
        <w:tabs>
          <w:tab w:val="clear" w:pos="708"/>
          <w:tab w:val="left" w:pos="5310" w:leader="none"/>
        </w:tabs>
        <w:bidi w:val="0"/>
        <w:spacing w:lineRule="auto" w:line="360" w:before="0" w:after="0"/>
        <w:ind w:left="0" w:right="0" w:firstLine="85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5310" w:leader="none"/>
        </w:tabs>
        <w:spacing w:lineRule="auto" w:line="360" w:before="0" w:after="0"/>
        <w:ind w:firstLine="851"/>
        <w:jc w:val="both"/>
        <w:rPr/>
      </w:pPr>
      <w:r>
        <w:rPr>
          <w:rFonts w:eastAsia="Calibri" w:cs="Times New Roman" w:ascii="Times New Roman" w:hAnsi="Times New Roman"/>
          <w:sz w:val="24"/>
          <w:szCs w:val="24"/>
        </w:rPr>
        <w:t>Обръщаме внимание, че Европейската комисия е приела Насоки за определяне на финансовите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Тези насоки съдържат по-детайлно дефиниране на някои нередности при възлагането на обществени поръчки, за които следва да бъдат налагани финансови корекции. Същите биха могли да се използват при индивидуализирането на конкретните нарушения с финансово влияние, като видно от представения анализ определена група нередности се отчитат като честно срещани.</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В допълнение, с Постановление № 202 от 15 август 2019 г. на Министерски съвет (обн. ДВ. бр. 67 от 23 август 2019 г.) се изменя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в сила от 31.03.2017 г. (Наредбата за посочване на нередности).</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С промените се въвежда казуален принцип на определяне на процентните показатели, които се прилагат спрямо допуснатите нарушения. Утвърдени са конкретни критерии, при наличието на които Управляващият орган следва да определи съответстващия процентен показател спрямо засегнатите от нарушението разходи. С изменението нередностите, както и приложимите процентни показатели на финансови корекции за тях са посочени и в нова поредност (различна номерация). Въведени са и някои нови нарушения, представляващи вече самостоятелно основание за налагане на финансова корекция. Постановление № 202 от 15 август 2019 г. на Министерски съвет въвежда всички нови случаи на нарушения, които следва да бъдат квалифицирани от Управляващите органи като нередности и, за които следва да бъдат определени и извършени финансови корекции. Въвеждат се изрично и случаи, при които не следва да се определя финансова корекция на бенефициентите, съгласно новоприетите от Европейската комисия насоки.</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С Постановление № 35 от 04 март 2020 г. на Министерски съвет (обн. ДВ. бр. 19 от 06 март 2020 г.) се изменя и допълва Наредбата за посочване на нередности. С промените колона 4 от Приложение № 1 към чл. 2, ал. 1 "Показател на корекцията (в %) за поръчки по чл. 20, ал. 2 и 3 от ЗОП и за процедура за избор на изпълнител по чл. 50 от ЗУСЕСИФ" се заличава, като по този начин се определят общи процентни показатели, които се прилагат спрямо допуснатите нарушения без значение от типа на процедурата.</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Съгласно чл. 142, ал. 1 от Административнопроцесуалния кодекс съответствието на административния акт с материалния закон се преценява към момента на издаването му. </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t>Обръщаме внимание, че установяването на наличие или липса на нередност се обективира в първата писмена оценка на Управляващия орган/НО и в решението за определяне на финансова корекция по чл. 73, ал. 1 ЗУСЕСИФ.</w:t>
      </w:r>
    </w:p>
    <w:p>
      <w:pPr>
        <w:pStyle w:val="Normal"/>
        <w:tabs>
          <w:tab w:val="clear" w:pos="708"/>
          <w:tab w:val="left" w:pos="5310" w:leader="none"/>
        </w:tabs>
        <w:spacing w:lineRule="auto" w:line="360" w:before="0" w:after="0"/>
        <w:ind w:firstLine="851"/>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360" w:before="0" w:after="200"/>
        <w:ind w:firstLine="993"/>
        <w:jc w:val="both"/>
        <w:rPr/>
      </w:pPr>
      <w:bookmarkStart w:id="1" w:name="_GoBack"/>
      <w:r>
        <w:rPr>
          <w:rFonts w:cs="Times New Roman" w:ascii="Times New Roman" w:hAnsi="Times New Roman"/>
          <w:sz w:val="24"/>
          <w:szCs w:val="24"/>
        </w:rPr>
        <w:t>В заключение, към момента от направения анализ и предвид предприетите мерки по намаляване на установените пропуски по управлението на проекти, Националният орган се стреми успешно да изпълни изискването на т. 5 от Регламент (ЕС) № 1299/2013 на Европейския парламент и на Съвета относно специални разпоредби за подкрепа от европейския фонд за регионално развитие по цел „Европейско териториално сътрудничество“, като преодолява общи предизвикателства, установени съвместно в граничните региони, като: затруднен достъп, по- конкретно в областта на информационните и комуникационните технологии (ИКТ) свързването и на транспортната инфраструктура, упадък на местната промишленост, неподходяща среда за стопанска дейност, липса на мрежови структури между местната и регионалната администрация, ниско равнище на научни изследвания, иновации и навлизане на ИКТ, замърсяване на околната среда, предотвратяване на риска, отрицателни нагласи към гражданите на съседни държави като цели и използването на неоползотворения потенциал за растеж в граничните райони (развитие на трансгранични бази и групи за научни изследвания и иновации, трансгранична интеграция на трудовия пазар, сътрудничество между образователни институции, включително университети или между здравни центрове) чрез засилен процес на сътрудничество за общото хармонично развитие на Съюза.</w:t>
      </w:r>
      <w:bookmarkEnd w:id="1"/>
    </w:p>
    <w:sectPr>
      <w:type w:val="nextPage"/>
      <w:pgSz w:w="11906" w:h="16838"/>
      <w:pgMar w:left="2310" w:right="142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80" w:hanging="360"/>
      </w:pPr>
    </w:lvl>
    <w:lvl w:ilvl="1">
      <w:start w:val="2"/>
      <w:numFmt w:val="decimal"/>
      <w:lvlText w:val="%1.%2."/>
      <w:lvlJc w:val="left"/>
      <w:pPr>
        <w:ind w:left="1425" w:hanging="705"/>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bg-BG" w:eastAsia="bg-BG"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bg-BG" w:eastAsia="bg-BG"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84be3"/>
    <w:rPr>
      <w:sz w:val="16"/>
      <w:szCs w:val="16"/>
    </w:rPr>
  </w:style>
  <w:style w:type="character" w:styleId="CommentTextChar" w:customStyle="1">
    <w:name w:val="Comment Text Char"/>
    <w:basedOn w:val="DefaultParagraphFont"/>
    <w:link w:val="CommentText"/>
    <w:uiPriority w:val="99"/>
    <w:semiHidden/>
    <w:qFormat/>
    <w:rsid w:val="00184be3"/>
    <w:rPr>
      <w:sz w:val="20"/>
      <w:szCs w:val="20"/>
    </w:rPr>
  </w:style>
  <w:style w:type="character" w:styleId="CommentSubjectChar" w:customStyle="1">
    <w:name w:val="Comment Subject Char"/>
    <w:basedOn w:val="CommentTextChar"/>
    <w:link w:val="CommentSubject"/>
    <w:uiPriority w:val="99"/>
    <w:semiHidden/>
    <w:qFormat/>
    <w:rsid w:val="00184be3"/>
    <w:rPr>
      <w:b/>
      <w:bCs/>
      <w:sz w:val="20"/>
      <w:szCs w:val="20"/>
    </w:rPr>
  </w:style>
  <w:style w:type="character" w:styleId="BalloonTextChar" w:customStyle="1">
    <w:name w:val="Balloon Text Char"/>
    <w:basedOn w:val="DefaultParagraphFont"/>
    <w:link w:val="BalloonText"/>
    <w:uiPriority w:val="99"/>
    <w:semiHidden/>
    <w:qFormat/>
    <w:rsid w:val="00184be3"/>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b/>
      <w:bCs/>
      <w:i w:val="false"/>
      <w:iCs w:val="false"/>
      <w:caps w:val="false"/>
      <w:smallCaps w:val="false"/>
      <w:strike w:val="false"/>
      <w:dstrike w:val="false"/>
      <w:color w:val="000000"/>
      <w:spacing w:val="0"/>
      <w:w w:val="100"/>
      <w:sz w:val="24"/>
      <w:szCs w:val="24"/>
      <w:u w:val="none"/>
      <w:lang w:val="bg-BG" w:eastAsia="bg-BG" w:bidi="bg-BG"/>
    </w:rPr>
  </w:style>
  <w:style w:type="character" w:styleId="ListLabel5">
    <w:name w:val="ListLabel 5"/>
    <w:qFormat/>
    <w:rPr>
      <w:rFonts w:eastAsia="Times New Roman" w:cs="Times New Roman"/>
      <w:b/>
      <w:bCs/>
      <w:i w:val="false"/>
      <w:iCs w:val="false"/>
      <w:caps w:val="false"/>
      <w:smallCaps w:val="false"/>
      <w:strike w:val="false"/>
      <w:dstrike w:val="false"/>
      <w:color w:val="000000"/>
      <w:spacing w:val="0"/>
      <w:w w:val="100"/>
      <w:sz w:val="24"/>
      <w:szCs w:val="24"/>
      <w:u w:val="none"/>
      <w:lang w:val="bg-BG" w:eastAsia="bg-BG" w:bidi="bg-BG"/>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8d619a"/>
    <w:pPr>
      <w:spacing w:before="0" w:after="200"/>
      <w:ind w:left="720" w:hanging="0"/>
      <w:contextualSpacing/>
    </w:pPr>
    <w:rPr/>
  </w:style>
  <w:style w:type="paragraph" w:styleId="Annotationtext">
    <w:name w:val="annotation text"/>
    <w:basedOn w:val="Normal"/>
    <w:link w:val="CommentTextChar"/>
    <w:uiPriority w:val="99"/>
    <w:semiHidden/>
    <w:unhideWhenUsed/>
    <w:qFormat/>
    <w:rsid w:val="00184be3"/>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84be3"/>
    <w:pPr/>
    <w:rPr>
      <w:b/>
      <w:bCs/>
    </w:rPr>
  </w:style>
  <w:style w:type="paragraph" w:styleId="BalloonText">
    <w:name w:val="Balloon Text"/>
    <w:basedOn w:val="Normal"/>
    <w:link w:val="BalloonTextChar"/>
    <w:uiPriority w:val="99"/>
    <w:semiHidden/>
    <w:unhideWhenUsed/>
    <w:qFormat/>
    <w:rsid w:val="00184be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LibreOffice/6.2.4.2$Windows_X86_64 LibreOffice_project/2412653d852ce75f65fbfa83fb7e7b669a126d64</Application>
  <Pages>10</Pages>
  <Words>2749</Words>
  <Characters>16409</Characters>
  <CharactersWithSpaces>19035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2020-05-04T08:39:00Z</dcterms:created>
  <dc:creator>Dobi</dc:creator>
  <dc:description/>
  <dc:language>bg-BG</dc:language>
  <cp:lastModifiedBy/>
  <dcterms:modified xsi:type="dcterms:W3CDTF">2020-05-04T14:07:12Z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